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CC" w:rsidRDefault="001170CC" w:rsidP="001170CC">
      <w:r>
        <w:rPr>
          <w:noProof/>
          <w:lang w:eastAsia="fr-FR"/>
        </w:rPr>
        <mc:AlternateContent>
          <mc:Choice Requires="wps">
            <w:drawing>
              <wp:anchor distT="0" distB="0" distL="114300" distR="114300" simplePos="0" relativeHeight="251659264" behindDoc="0" locked="0" layoutInCell="1" allowOverlap="1" wp14:anchorId="422CB7DC" wp14:editId="489646C4">
                <wp:simplePos x="0" y="0"/>
                <wp:positionH relativeFrom="column">
                  <wp:posOffset>-5943</wp:posOffset>
                </wp:positionH>
                <wp:positionV relativeFrom="paragraph">
                  <wp:posOffset>-31629</wp:posOffset>
                </wp:positionV>
                <wp:extent cx="6041204" cy="652409"/>
                <wp:effectExtent l="0" t="0" r="17145" b="14605"/>
                <wp:wrapNone/>
                <wp:docPr id="1" name="Rectangle 1"/>
                <wp:cNvGraphicFramePr/>
                <a:graphic xmlns:a="http://schemas.openxmlformats.org/drawingml/2006/main">
                  <a:graphicData uri="http://schemas.microsoft.com/office/word/2010/wordprocessingShape">
                    <wps:wsp>
                      <wps:cNvSpPr/>
                      <wps:spPr>
                        <a:xfrm>
                          <a:off x="0" y="0"/>
                          <a:ext cx="6041204" cy="652409"/>
                        </a:xfrm>
                        <a:prstGeom prst="rect">
                          <a:avLst/>
                        </a:prstGeom>
                        <a:solidFill>
                          <a:sysClr val="window" lastClr="FFFFFF"/>
                        </a:solidFill>
                        <a:ln w="25400" cap="flat" cmpd="sng" algn="ctr">
                          <a:solidFill>
                            <a:sysClr val="windowText" lastClr="000000"/>
                          </a:solidFill>
                          <a:prstDash val="solid"/>
                        </a:ln>
                        <a:effectLst/>
                      </wps:spPr>
                      <wps:txbx>
                        <w:txbxContent>
                          <w:p w:rsidR="001170CC" w:rsidRPr="005C6E0C" w:rsidRDefault="001170CC" w:rsidP="001170CC">
                            <w:pPr>
                              <w:jc w:val="center"/>
                              <w:rPr>
                                <w:b/>
                                <w:sz w:val="24"/>
                                <w:szCs w:val="24"/>
                              </w:rPr>
                            </w:pPr>
                            <w:r w:rsidRPr="005C6E0C">
                              <w:rPr>
                                <w:b/>
                                <w:sz w:val="24"/>
                                <w:szCs w:val="24"/>
                              </w:rPr>
                              <w:t>Fiche pratique :</w:t>
                            </w:r>
                          </w:p>
                          <w:p w:rsidR="001170CC" w:rsidRPr="005C6E0C" w:rsidRDefault="001170CC" w:rsidP="001170CC">
                            <w:pPr>
                              <w:jc w:val="center"/>
                              <w:rPr>
                                <w:b/>
                                <w:sz w:val="24"/>
                                <w:szCs w:val="24"/>
                              </w:rPr>
                            </w:pPr>
                            <w:r>
                              <w:rPr>
                                <w:b/>
                                <w:sz w:val="24"/>
                                <w:szCs w:val="24"/>
                              </w:rPr>
                              <w:t>Droit de retrait</w:t>
                            </w:r>
                            <w:r w:rsidR="001026FB">
                              <w:rPr>
                                <w:b/>
                                <w:sz w:val="24"/>
                                <w:szCs w:val="24"/>
                              </w:rPr>
                              <w:t xml:space="preserve"> et d’alerte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2.5pt;width:475.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" fillcolor="window" strokecolor="windowText" strokeweight="2pt">
                <v:textbox>
                  <w:txbxContent>
                    <w:p w:rsidR="001170CC" w:rsidRPr="005C6E0C" w:rsidRDefault="001170CC" w:rsidP="001170CC">
                      <w:pPr>
                        <w:jc w:val="center"/>
                        <w:rPr>
                          <w:b/>
                          <w:sz w:val="24"/>
                          <w:szCs w:val="24"/>
                        </w:rPr>
                      </w:pPr>
                      <w:r w:rsidRPr="005C6E0C">
                        <w:rPr>
                          <w:b/>
                          <w:sz w:val="24"/>
                          <w:szCs w:val="24"/>
                        </w:rPr>
                        <w:t>Fiche pratique :</w:t>
                      </w:r>
                    </w:p>
                    <w:p w:rsidR="001170CC" w:rsidRPr="005C6E0C" w:rsidRDefault="001170CC" w:rsidP="001170CC">
                      <w:pPr>
                        <w:jc w:val="center"/>
                        <w:rPr>
                          <w:b/>
                          <w:sz w:val="24"/>
                          <w:szCs w:val="24"/>
                        </w:rPr>
                      </w:pPr>
                      <w:r>
                        <w:rPr>
                          <w:b/>
                          <w:sz w:val="24"/>
                          <w:szCs w:val="24"/>
                        </w:rPr>
                        <w:t>Droit de retrait</w:t>
                      </w:r>
                      <w:r w:rsidR="001026FB">
                        <w:rPr>
                          <w:b/>
                          <w:sz w:val="24"/>
                          <w:szCs w:val="24"/>
                        </w:rPr>
                        <w:t xml:space="preserve"> et d’alerte</w:t>
                      </w:r>
                    </w:p>
                  </w:txbxContent>
                </v:textbox>
              </v:rect>
            </w:pict>
          </mc:Fallback>
        </mc:AlternateContent>
      </w:r>
    </w:p>
    <w:p w:rsidR="001170CC" w:rsidRDefault="001170CC" w:rsidP="001170CC"/>
    <w:p w:rsidR="001170CC" w:rsidRDefault="001170CC" w:rsidP="001170CC"/>
    <w:p w:rsidR="001170CC" w:rsidRDefault="001170CC" w:rsidP="001170CC">
      <w:pPr>
        <w:spacing w:after="0"/>
      </w:pPr>
      <w:r>
        <w:t>Décret n°82-453 du 28 mai 1982 – article 5-6 à 5-9</w:t>
      </w:r>
    </w:p>
    <w:p w:rsidR="001170CC" w:rsidRDefault="001170CC" w:rsidP="001170CC">
      <w:pPr>
        <w:spacing w:after="0"/>
      </w:pPr>
      <w:r>
        <w:t xml:space="preserve">Circulaire </w:t>
      </w:r>
      <w:r>
        <w:t>Fonction Publique n°1871 du 24 janvier 1996</w:t>
      </w:r>
    </w:p>
    <w:p w:rsidR="001170CC" w:rsidRDefault="001170CC" w:rsidP="001170CC">
      <w:pPr>
        <w:spacing w:after="0"/>
      </w:pPr>
    </w:p>
    <w:p w:rsidR="001170CC" w:rsidRDefault="001170CC" w:rsidP="001170CC">
      <w:pPr>
        <w:spacing w:after="0"/>
      </w:pPr>
    </w:p>
    <w:p w:rsidR="001170CC" w:rsidRDefault="001170CC" w:rsidP="001170CC">
      <w:pPr>
        <w:spacing w:after="0"/>
        <w:rPr>
          <w:b/>
          <w:u w:val="single"/>
        </w:rPr>
      </w:pPr>
      <w:r>
        <w:rPr>
          <w:b/>
          <w:u w:val="single"/>
        </w:rPr>
        <w:t>Personnel concerné :</w:t>
      </w:r>
    </w:p>
    <w:p w:rsidR="001170CC" w:rsidRDefault="001170CC" w:rsidP="001170CC">
      <w:pPr>
        <w:spacing w:after="0"/>
      </w:pPr>
      <w:r>
        <w:t xml:space="preserve">Agents publics de l’Etat et des EPLE, titulaires, stagiaires et non titulaires </w:t>
      </w:r>
    </w:p>
    <w:p w:rsidR="001170CC" w:rsidRDefault="001170CC" w:rsidP="001170CC">
      <w:pPr>
        <w:spacing w:after="0"/>
      </w:pPr>
    </w:p>
    <w:p w:rsidR="001170CC" w:rsidRDefault="001170CC" w:rsidP="001170CC">
      <w:pPr>
        <w:spacing w:after="0"/>
      </w:pPr>
    </w:p>
    <w:p w:rsidR="001170CC" w:rsidRDefault="001170CC" w:rsidP="001170CC">
      <w:pPr>
        <w:spacing w:after="0"/>
        <w:rPr>
          <w:b/>
          <w:u w:val="single"/>
        </w:rPr>
      </w:pPr>
      <w:r>
        <w:rPr>
          <w:b/>
          <w:u w:val="single"/>
        </w:rPr>
        <w:t>Situations ouvrant droit à la protection :</w:t>
      </w:r>
    </w:p>
    <w:p w:rsidR="001170CC" w:rsidRDefault="001170CC" w:rsidP="001170CC">
      <w:pPr>
        <w:pStyle w:val="Paragraphedeliste"/>
        <w:numPr>
          <w:ilvl w:val="0"/>
          <w:numId w:val="1"/>
        </w:numPr>
        <w:spacing w:after="0"/>
        <w:jc w:val="both"/>
      </w:pPr>
      <w:r>
        <w:t>Tout agent ayant un motif raisonnable de penser que sa situation de travail présente un danger grave et imminent pour sa vie ou sa santé ou s’il constate des défectuosités dans les systèmes de protection.</w:t>
      </w:r>
    </w:p>
    <w:p w:rsidR="001170CC" w:rsidRDefault="001170CC" w:rsidP="001170CC">
      <w:pPr>
        <w:pStyle w:val="Paragraphedeliste"/>
        <w:numPr>
          <w:ilvl w:val="0"/>
          <w:numId w:val="1"/>
        </w:numPr>
        <w:spacing w:after="0"/>
        <w:jc w:val="both"/>
      </w:pPr>
      <w:r>
        <w:t>Droit individuel et non collectif.</w:t>
      </w:r>
    </w:p>
    <w:p w:rsidR="001170CC" w:rsidRDefault="001170CC" w:rsidP="001170CC">
      <w:pPr>
        <w:spacing w:after="0"/>
      </w:pPr>
    </w:p>
    <w:p w:rsidR="001170CC" w:rsidRDefault="001170CC" w:rsidP="001170CC">
      <w:pPr>
        <w:pStyle w:val="Paragraphedeliste"/>
        <w:spacing w:after="0"/>
      </w:pPr>
    </w:p>
    <w:p w:rsidR="001170CC" w:rsidRDefault="001170CC" w:rsidP="001170CC">
      <w:pPr>
        <w:pStyle w:val="Paragraphedeliste"/>
        <w:spacing w:after="0"/>
        <w:ind w:left="0"/>
        <w:rPr>
          <w:b/>
          <w:u w:val="single"/>
        </w:rPr>
      </w:pPr>
      <w:r>
        <w:rPr>
          <w:b/>
          <w:u w:val="single"/>
        </w:rPr>
        <w:t>Procédure :</w:t>
      </w:r>
    </w:p>
    <w:p w:rsidR="001170CC" w:rsidRDefault="001170CC" w:rsidP="001170CC">
      <w:pPr>
        <w:pStyle w:val="Paragraphedeliste"/>
        <w:numPr>
          <w:ilvl w:val="0"/>
          <w:numId w:val="2"/>
        </w:numPr>
        <w:spacing w:after="0"/>
      </w:pPr>
      <w:r>
        <w:t>Information orale au chef de service direct puis inscription sur le registre de danger grave et imminent qui doit être facilement disponible.</w:t>
      </w:r>
    </w:p>
    <w:p w:rsidR="001170CC" w:rsidRDefault="001170CC" w:rsidP="001170CC">
      <w:pPr>
        <w:pStyle w:val="Paragraphedeliste"/>
        <w:numPr>
          <w:ilvl w:val="0"/>
          <w:numId w:val="2"/>
        </w:numPr>
        <w:spacing w:after="0"/>
        <w:jc w:val="both"/>
      </w:pPr>
      <w:r>
        <w:t>Le signaler aux membres du CHS qui devront être associés à l’enquête mené par le chef.</w:t>
      </w:r>
    </w:p>
    <w:p w:rsidR="001170CC" w:rsidRDefault="001170CC" w:rsidP="001170CC">
      <w:pPr>
        <w:pStyle w:val="Paragraphedeliste"/>
        <w:numPr>
          <w:ilvl w:val="0"/>
          <w:numId w:val="2"/>
        </w:numPr>
        <w:spacing w:after="0"/>
        <w:jc w:val="both"/>
      </w:pPr>
      <w:r>
        <w:t xml:space="preserve">En cas de divergences sur la réalité du danger ou des mesures à prendre, le CHS doit être </w:t>
      </w:r>
      <w:r w:rsidR="001026FB">
        <w:t>réuni dans un délai de 24 heures.</w:t>
      </w:r>
    </w:p>
    <w:p w:rsidR="001170CC" w:rsidRDefault="001170CC" w:rsidP="001170CC">
      <w:pPr>
        <w:spacing w:after="0"/>
        <w:jc w:val="both"/>
      </w:pPr>
    </w:p>
    <w:p w:rsidR="001170CC" w:rsidRDefault="001170CC" w:rsidP="001170CC">
      <w:pPr>
        <w:spacing w:after="0"/>
        <w:jc w:val="both"/>
      </w:pPr>
    </w:p>
    <w:p w:rsidR="001170CC" w:rsidRDefault="001170CC" w:rsidP="001170CC">
      <w:pPr>
        <w:spacing w:after="0"/>
        <w:jc w:val="both"/>
        <w:rPr>
          <w:b/>
          <w:u w:val="single"/>
        </w:rPr>
      </w:pPr>
      <w:r>
        <w:rPr>
          <w:b/>
          <w:u w:val="single"/>
        </w:rPr>
        <w:t>Con</w:t>
      </w:r>
      <w:r w:rsidR="001026FB">
        <w:rPr>
          <w:b/>
          <w:u w:val="single"/>
        </w:rPr>
        <w:t>séquences :</w:t>
      </w:r>
    </w:p>
    <w:p w:rsidR="001026FB" w:rsidRDefault="001026FB" w:rsidP="001170CC">
      <w:pPr>
        <w:pStyle w:val="Paragraphedeliste"/>
        <w:numPr>
          <w:ilvl w:val="0"/>
          <w:numId w:val="3"/>
        </w:numPr>
        <w:spacing w:after="0"/>
        <w:jc w:val="both"/>
      </w:pPr>
      <w:r>
        <w:t>Absence de droit de retrait : mise en demeure de rejoindre de son poste et si refus, retenue sur traitement.</w:t>
      </w:r>
    </w:p>
    <w:p w:rsidR="001170CC" w:rsidRDefault="001026FB" w:rsidP="001170CC">
      <w:pPr>
        <w:pStyle w:val="Paragraphedeliste"/>
        <w:numPr>
          <w:ilvl w:val="0"/>
          <w:numId w:val="3"/>
        </w:numPr>
        <w:spacing w:after="0"/>
        <w:jc w:val="both"/>
      </w:pPr>
      <w:r>
        <w:t>Droit de retrait retenu : le chef met en œuvre les mesures nécessaires dans les plus brefs délais. Dès qu’il est mis fin au danger, obligation de  rejoindre son poste.</w:t>
      </w:r>
    </w:p>
    <w:p w:rsidR="001170CC" w:rsidRDefault="001170CC" w:rsidP="001170CC">
      <w:pPr>
        <w:spacing w:after="0"/>
        <w:jc w:val="both"/>
      </w:pPr>
    </w:p>
    <w:p w:rsidR="001170CC" w:rsidRDefault="001170CC" w:rsidP="001170CC">
      <w:pPr>
        <w:spacing w:after="0"/>
        <w:jc w:val="both"/>
      </w:pPr>
    </w:p>
    <w:p w:rsidR="001170CC" w:rsidRDefault="001170CC" w:rsidP="001170CC">
      <w:pPr>
        <w:spacing w:after="0"/>
        <w:jc w:val="both"/>
        <w:rPr>
          <w:b/>
          <w:u w:val="single"/>
        </w:rPr>
      </w:pPr>
      <w:proofErr w:type="gramStart"/>
      <w:r w:rsidRPr="00FE0CCF">
        <w:rPr>
          <w:b/>
          <w:u w:val="single"/>
        </w:rPr>
        <w:t>Remarques</w:t>
      </w:r>
      <w:proofErr w:type="gramEnd"/>
      <w:r w:rsidRPr="00FE0CCF">
        <w:rPr>
          <w:b/>
          <w:u w:val="single"/>
        </w:rPr>
        <w:t> :</w:t>
      </w:r>
    </w:p>
    <w:p w:rsidR="001170CC" w:rsidRPr="00FE0CCF" w:rsidRDefault="001026FB" w:rsidP="001170CC">
      <w:pPr>
        <w:spacing w:after="0"/>
        <w:jc w:val="both"/>
      </w:pPr>
      <w:r>
        <w:t xml:space="preserve">Informer le cabinet du recteur en cas de </w:t>
      </w:r>
      <w:bookmarkStart w:id="0" w:name="_GoBack"/>
      <w:bookmarkEnd w:id="0"/>
      <w:r>
        <w:t>mise en œuvre du droit de retrait.</w:t>
      </w:r>
    </w:p>
    <w:p w:rsidR="00DF3462" w:rsidRDefault="00DF3462"/>
    <w:sectPr w:rsidR="00DF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ACA"/>
    <w:multiLevelType w:val="hybridMultilevel"/>
    <w:tmpl w:val="2CB818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B62594"/>
    <w:multiLevelType w:val="hybridMultilevel"/>
    <w:tmpl w:val="D45E98E4"/>
    <w:lvl w:ilvl="0" w:tplc="040C0003">
      <w:start w:val="1"/>
      <w:numFmt w:val="bullet"/>
      <w:lvlText w:val="o"/>
      <w:lvlJc w:val="left"/>
      <w:pPr>
        <w:ind w:left="817" w:hanging="360"/>
      </w:pPr>
      <w:rPr>
        <w:rFonts w:ascii="Courier New" w:hAnsi="Courier New" w:cs="Courier New"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
    <w:nsid w:val="5DB108F6"/>
    <w:multiLevelType w:val="hybridMultilevel"/>
    <w:tmpl w:val="1D105B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CC"/>
    <w:rsid w:val="001026FB"/>
    <w:rsid w:val="001170CC"/>
    <w:rsid w:val="00DF3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jocelyne</cp:lastModifiedBy>
  <cp:revision>1</cp:revision>
  <dcterms:created xsi:type="dcterms:W3CDTF">2016-01-29T14:35:00Z</dcterms:created>
  <dcterms:modified xsi:type="dcterms:W3CDTF">2016-01-29T14:52:00Z</dcterms:modified>
</cp:coreProperties>
</file>